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28" w:rsidRPr="00F82B28" w:rsidRDefault="00F82B28" w:rsidP="00F82B28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F82B28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Федеральный закон от 7 августа 2001 г. N 115-ФЗ "О противодействии легализации (отмыванию) доходов, полученных преступным путем"</w:t>
      </w:r>
    </w:p>
    <w:bookmarkEnd w:id="0"/>
    <w:p w:rsidR="00F82B28" w:rsidRPr="00F82B28" w:rsidRDefault="00F82B28" w:rsidP="00F82B28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7 августа 2001 г.</w:t>
      </w:r>
    </w:p>
    <w:p w:rsidR="00F82B28" w:rsidRPr="00F82B28" w:rsidRDefault="00F82B28" w:rsidP="00F82B28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9 августа 2001 г.</w:t>
      </w:r>
    </w:p>
    <w:p w:rsidR="00F82B28" w:rsidRPr="00F82B28" w:rsidRDefault="00F82B28" w:rsidP="00F82B28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1 февраля 2002 г.</w:t>
      </w:r>
    </w:p>
    <w:p w:rsidR="00F82B28" w:rsidRPr="00F82B28" w:rsidRDefault="00F82B28" w:rsidP="00F82B28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r w:rsidRPr="00F82B28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Изменения и поправки</w:t>
      </w:r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5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13 июля 2020 г. N 208-ФЗ "О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в целях совершенствования обязательного контроля"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6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1 марта 2020 г. N 46-ФЗ "О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статью 20 Федерального закона "О лотереях""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7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16 декабря 2019 г. N 438-Ф3 "О внесении изменений в статьи 7 и 7</w:t>
        </w:r>
        <w:r w:rsidRPr="00F82B28">
          <w:rPr>
            <w:rFonts w:ascii="Arial" w:eastAsia="Times New Roman" w:hAnsi="Arial" w:cs="Arial"/>
            <w:color w:val="666666"/>
            <w:spacing w:val="3"/>
            <w:sz w:val="15"/>
            <w:szCs w:val="15"/>
            <w:vertAlign w:val="superscript"/>
            <w:lang w:eastAsia="ru-RU"/>
          </w:rPr>
          <w:t>2</w:t>
        </w:r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 Федерального закона "О противодействии легализации (отмыванию) доходов, полученных преступным путем, и финансированию терроризма" в части уточнения вопросов, связанных с проведением идентификации физических лиц, осуществляющих и получающих почтовые переводы денежных средств"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8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Перечень дополнен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9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Перечень дополнен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0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Перечень дополнен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1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 августа 2019 г. N 271-ФЗ "О внесении изменений в отдельные законодательные акты Российской Федерации"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2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26 июля 2019 г. N 250-ФЗ "О внесении изменений в статью 7 Федерального закона "О противодействии легализации (отмыванию) доходов, полученных преступным путем, и финансированию терроризма""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3" w:history="1">
        <w:proofErr w:type="gramStart"/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3 июля 2019 г. N 169-ФЗ "О внесении изменений в Федеральный закон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статью 7 Федерального закона "О противодействии легализации (отмыванию) доходов, полученных преступным путем, и финансированию терроризма" в части уточнения вопросов, связанных с проведением идентификации участников</w:t>
        </w:r>
        <w:proofErr w:type="gramEnd"/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 азартных игр"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4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Федеральный закон от 27 декабря 2018 г. N 565-ФЗ "О внесении изменений в Федеральный закон "О противодействии легализации (отмыванию) доходов, полученных преступным путем, и </w:t>
        </w:r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lastRenderedPageBreak/>
          <w:t xml:space="preserve">финансированию терроризма" по вопросам установления </w:t>
        </w:r>
        <w:proofErr w:type="gramStart"/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контроля за</w:t>
        </w:r>
        <w:proofErr w:type="gramEnd"/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 операциями отдельных категорий физических лиц"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5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23 апреля 2018 г. N 90-ФЗ "О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6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23 апреля 2018 г. N 112-ФЗ "О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статью 13 Федерального закона "Об аудиторской деятельности""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7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29 декабря 2017 года № 470-ФЗ "О внесении изменений в отдельные законодательные акты Российской Федерации"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8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29 июля 2017 г. N 281-ФЗ "О внесении изменений в отдельные законодательные акты Российской Федерации в части совершенствования обязательных требований к учредителям (участникам), органам управления и должностным лицам финансовых организаций"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19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от 28 декабря 2016 г. N 471-ФЗ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0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Перечень физических лиц и организаций, в отношении которых имеются сведения об их причастности к экстремистской деятельности или терроризму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1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законе о противодействии легализации доходов, полученных преступным путем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2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ФЗ "О противодействии легализации (отмыванию) доходов, полученных преступным путем, и финансированию терроризма"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3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N 423 "О внесении изменений в статью 7 Федерального закона "О противодействии легализации (отмыванию) доходов, полученных преступным путем, и финансированию терроризма""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4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отдельные законодательные акты РФ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5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отдельные законодательные акты РФ и признание утратившими силу отдельных положений законодательных актов РФ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6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отдельные законодательные акты РФ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7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Внесены изменения в отдельные законодательные акты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8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закон о национальной платежной системе и о противодействии отмыванию доходов, полученных преступным путем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29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Организации и физические лица,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0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Организации и физические лица,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1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Перечень организаций и физических лиц, в отношении которых имеются сведения об их причастности к экстремистской деятельности или терроризму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2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закон о противодействии легализации (отмыванию) доходов, полученных преступным путем, и финансированию терроризма и в Административный кодекс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3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Организации и физические лица, включенные в Перечень организаций и физических лиц, в отношении которых </w:t>
        </w:r>
        <w:proofErr w:type="spellStart"/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имются</w:t>
        </w:r>
        <w:proofErr w:type="spellEnd"/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 сведения об их причастности к экстремистской деятельности или терроризму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4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Изменений в закон "О противодействии отмыванию доходов, полученных преступным путем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5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Положение о </w:t>
        </w:r>
        <w:proofErr w:type="gramStart"/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контроле за</w:t>
        </w:r>
        <w:proofErr w:type="gramEnd"/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 xml:space="preserve"> исполнением закона об отмывании средства организациями, в сфере деятельности которых отсутствуют надзорные органы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6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статьи 5 и 7 закона о противодействии легализации доходов, полученных преступным путем, и финансированию терроризма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7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статью 7 закона о противодействии легализации доходов, полученных преступным путем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8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Новый порядок контроля над риелторами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39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закон о противодействии легализации преступных доходов</w:t>
        </w:r>
      </w:hyperlink>
    </w:p>
    <w:p w:rsidR="00F82B28" w:rsidRPr="00F82B28" w:rsidRDefault="00F82B28" w:rsidP="00F82B28">
      <w:pPr>
        <w:shd w:val="clear" w:color="auto" w:fill="F3F3F3"/>
        <w:spacing w:after="15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40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Изменение в ст.2 закона "О противодействии легализации (отмыванию) доходов, полученных преступным путем, и финансированию терроризма"</w:t>
        </w:r>
      </w:hyperlink>
    </w:p>
    <w:p w:rsidR="00F82B28" w:rsidRPr="00F82B28" w:rsidRDefault="00F82B28" w:rsidP="00F82B28">
      <w:pPr>
        <w:shd w:val="clear" w:color="auto" w:fill="F3F3F3"/>
        <w:spacing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41" w:history="1">
        <w:r w:rsidRPr="00F82B28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Изменения в закон о легализации доходов</w:t>
        </w:r>
      </w:hyperlink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</w:t>
      </w:r>
      <w:proofErr w:type="gramEnd"/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Государственной Думой 13 июля 2001 года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</w:t>
      </w:r>
      <w:proofErr w:type="gramEnd"/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Советом Федерации 20 июля 2001 года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Глава I. ОБЩИЕ ПОЛОЖЕНИЯ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1. Цели настоящего Федерального закона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Настоящий Федеральный закон направлен на защиту прав и законных интересов граждан, общества и государства путем создания правового механизма противодействия легализации (отмыванию) доходов, полученных преступным путем.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    Статья 2. Сфера применения настоящего Федерального закона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Настоящий Федеральный закон регулирует отношения граждан Российской Федерации, иностранных граждан и постоянно проживающих в Российской Федерации лиц без гражданства, организаций, осуществляющих операции с денежными средствами или иным имуществом, а также государственных органов, осуществляющих контроль на территории Российской Федерации за проведением операций с денежными средствами или иным имуществом, в целях предупреждения, выявления и пресечения деяний, связанных с легализацией (отмыванием) доходов, полученных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преступным путем.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лиц, которые осуществляют операции с денежными средствами или иным имуществом вне пределов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3. Основные понятия, используемые в настоящем Федеральном законе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Для целей настоящего Федерального закона используются следующие основные понятия: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доходы, полученные преступным путем, - денежные средства или иное имущество, полученные в результате совершения преступления;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легализация (отмывание) доходов, полученных преступным путем, - придание правомерного вида владению, пользованию или распоряжению денежными средствами или иным имуществом, полученными в результате совершения преступления, за исключением преступлений, предусмотренных статьями 193, 194, 198 и 199 Уголовного кодекса Российской Федерации, ответственность по которым установлена указанными статьями;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 операции с денежными средствами или иным имуществом - действия физических и юридических лиц с денежными средствами или иным имуществом независимо от формы и способа их осуществления, направленные на установление, изменение или прекращение связанных с ними гражданских прав и обязанностей;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уполномоченный орган - федеральный орган исполнительной власти, принимающий меры по противодействию легализации (отмыванию) доходов, полученных преступным путем, в соответствии с настоящим Федеральным законом;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обязательный контроль - совокупность принимаемых уполномоченным органом мер по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контролю за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операциями с денежными средствами или иным имуществом, осуществляемому на основании информации, представляемой ему организациями, осуществляющими такие операции, а также по проверке этой информации в соответствии с законодательством Российской Федерации;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внутренний контроль - деятельность организаций, осуществляющих операции с денежными средствами или иным имуществом, по выявлению операций, подлежащих обязательному контролю, и иных операций с денежными средствами или иным имуществом, связанных с легализацией (отмыванием) доходов, полученных преступным путем.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Глава II. ПРЕДУПРЕЖДЕНИЕ ЛЕГАЛИЗАЦИИ (ОТМЫВАНИЯ) ДОХОДОВ, ПОЛУЧЕННЫХ ПРЕСТУПНЫМ ПУТЕМ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4. Меры, направленные на противодействие легализации (отмыванию) доходов, полученных преступным путем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К мерам, направленным на противодействие легализации (отмыванию) доходов, полученных преступным путем, относятся: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обязательные процедуры внутреннего контроля;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обязательный контроль;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запрет на информирование клиентов и иных лиц о принимаемых мерах противодействия легализации (отмыванию) доходов, полученных преступным путем;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 иные меры, принимаемые в соответствии с федеральными законами.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5. Организации, осуществляющие операции с денежными средствами или иным имуществом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 целях настоящего Федерального закона к организациям, осуществляющим операции с денежными средствами или иным имуществом, относятся: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кредитные организации;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профессиональные участники рынка ценных бумаг;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страховые и лизинговые компании;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организации почтовой, телеграфной связи и иные </w:t>
      </w:r>
      <w:proofErr w:type="spell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некредитные</w:t>
      </w:r>
      <w:proofErr w:type="spell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организации, осуществляющие перевод денежных средств;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ломбарды.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 Статья 6. Операции с денежными средствами или иным имуществом, подлежащие обязательному контролю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1. Операция с денежными средствами или иным имуществом подлежит обязательному контролю, если сумма, на которую она совершается, равна или превышает 600 000 рублей, а по своему характеру данная операция относится к одному из видов операций, предусмотренных пунктом 2 настоящей статьи.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2. К операциям с денежными средствами или иным имуществом, подлежащим обязательному контролю, относятся: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1) операции с денежными средствами в наличной форме: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снятие со счета или зачисление на счет юридического лица денежных средств в наличной форме в случаях, когда это не обусловлено характером его хозяйственной деятельности;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покупка или продажа наличной иностранной валюты;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приобретение физическим лицом ценных бумаг за наличный расчет;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 получение физическим лицом денежных средств по чеку на предъявителя, выданному нерезидентом;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обмен банкнот одного достоинства на банкноты другого достоинства;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внесение физическим лицом в уставный (складочный) капитал организации денежных средств в наличной форме;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зачисление или перевод на счет денежных средств, предоставление или получение кредита (займа), операции с ценными бумагами в случае, если хотя бы одной из сторон является физическое или юридическое лицо, имеющее соответственно регистрацию, место жительства или место нахождения в государстве (на территории), в отношении которого (которой) имеются сведения о незаконном производстве наркотических средств, либо одной из сторон является лицо, являющееся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владельцем счета в банке, зарегистрированном в указанном государстве (на указанной территории). Перечень таких государств (территорий) определяется Правительством Российской Федерации и подлежит опубликованию;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зачисление или перевод на счет денежных средств, предоставление или получение кредита (займа), операции с ценными бумагами в случае, если хотя бы одной из сторон является физическое или юридическое лицо, имеющее соответственно регистрацию, место жительства или место нахождения в государстве (на территории), в котором (на которой) не предусмотрено раскрытие или представление информации при проведении финансовых операций, либо одной из сторон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является лицо, являющееся владельцем счета в банке, зарегистрированном в указанном государстве (на указанной территории). Перечень таких государств (территорий) определяется Правительством Российской Федерации по согласованию с Центральным банком Российской Федерации на основе перечней, утвержденных международными организациями, занимающимися противодействием легализации (отмыванию) доходов, полученных преступным путем, и подлежит опубликованию;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4) операции по банковским счетам (вкладам):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размещение денежных средств во вклад (на депозите) с оформлением документов, удостоверяющих вклад (депозит) на предъявителя;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 открытие вклада (депозита) в пользу третьих лиц с размещением в него денежных средств в наличной форме;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перевод денежных средств за границу на счет (во вклад), открытый на анонимного владельца, и поступление денежных средств из-за границы со счета (с вклада), открытого на анонимного владельца;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зачисление на свой счет или списание со своего счета денежных средств юридическим лицом, период деятельности которого не превышает трех месяцев со дня его регистрации, либо юридическим лицом,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операции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по счетам которого не производились с момента их открытия;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 5) иные сделки с движимым имуществом: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помещение ценных бумаг, драгоценных металлов, драгоценных камней или иных ценностей в ломбард;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выплата физическому лицу страхового возмещения или получение от него страховой премии по страхованию жизни и иным видам накопительного страхования и пенсионного обеспечения;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получение или предоставление имущества по договору финансовой аренды (лизинга);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переводы денежных средств, осуществляемые </w:t>
      </w:r>
      <w:proofErr w:type="spell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некредитными</w:t>
      </w:r>
      <w:proofErr w:type="spell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организациями по поручению клиента.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3. Сведения об операциях с денежными средствами или иным имуществом, подлежащих обязательному контролю, представляются в уполномоченный орган организациями, осуществляющими операции с денежными средствами или иным имуществом.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7. Обязанности организаций, осуществляющих операции с денежными средствами или иным имуществом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1. Организации, осуществляющие операции с денежными средствами или иным имуществом, обязаны: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    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идентифицировать личность, которая совершает операции с денежными средствами или иным имуществом, подлежащие обязательному контролю, либо открывает счет (депозитный вклад), по предъявляемым документам;</w:t>
      </w:r>
      <w:proofErr w:type="gramEnd"/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2) документально фиксировать и представлять в уполномоченный орган не позднее рабочего дня, следующего за днем совершения операции, следующие сведения по операциям с денежными средствами или иным имуществом, подлежащим обязательному контролю: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 вид операции и основания ее совершения;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дату совершения операции с денежными средствами или иным имуществом, а также сумму, на которую она совершена;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сведения, необходимые для идентификации физического лица, совершающего операцию с денежными средствами или иным имуществом (данные паспорта или другого документа, удостоверяющего личность), адрес его места жительства или места пребывания;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 наименование, идентификационный номер налогоплательщика, регистрационный номер, место регистрации и адрес места нахождения юридического лица, совершающего операцию с денежными средствами или иным имуществом;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сведения, необходимые для идентификации физического или юридического лица, по поручению и от имени которого совершается операция с денежными средствами или иным имуществом, идентификационный номер налогоплательщика (при его наличии), адрес места жительства или места нахождения физического или юридического лица;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сведения, необходимые для идентификации представителя физического или юридического лица, совершающего операцию с денежными средствами или иным имуществом от имени другого лица в силу полномочия, основанного на доверенности, законе либо акте уполномоченного на то государственного органа или органа местного самоуправления, адрес места жительства представителя физического или юридического лица;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сведения, необходимые для идентификации получателя по операции с денежными средствами или иным имуществом и его представителя, в том числе </w:t>
      </w: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идентификационный номер налогоплательщика (при его наличии), адрес места жительства или места нахождения получателя и его представителя, если это предусмотрено правилами совершения соответствующей операции;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3) представлять в уполномоченный орган по его письменному запросу информацию, указанную в подпункте 2 настоящего пункта, как в отношении операций, подлежащих обязательному контролю, так и в отношении операций, указанных в пункте 3 настоящей статьи.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Порядок направления уполномоченным органом указанных запросов определяется Правительством Российской Федерации по согласованию с Центральным банком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Уполномоченный орган не вправе запрашивать документы и информацию по операциям, совершенным до вступления в силу настоящего Федерального закона, за исключением документов и информации, которые представляются на основании соответствующего международного договора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2. Организации, осуществляющие операции с денежными средствами или иным имуществом, обязаны в целях предотвращения легализации (отмывания) доходов, полученных преступным путем, разрабатывать правила внутреннего контроля и программы его осуществления, назначать специальных должностных лиц, ответственных за соблюдение указанных правил, и реализацию указанных программ, а также предпринимать иные внутренние организационные меры в указанных целях.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Правила внутреннего контроля организации, осуществляющей операции с денежными средствами или иным имуществом, должны включать порядок документального фиксирования необходимой информации, порядок обеспечения конфиденциальности информации, квалификационные требования к подготовке и обучению кадров, а также критерии выявления и признаки необычных сделок с учетом особенностей деятельности этой организации.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Организации, осуществляющие операции с денежными средствами или иным имуществом в соответствии с правилами внутреннего контроля, обязаны документально фиксировать информацию, полученную в результате применения указанных правил и реализации программ осуществления внутреннего контроля, и сохранять ее конфиденциальный характер.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 Основаниями документального фиксирования информации являются: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запутанный или необычный характер сделки, не имеющей очевидного экономического смысла или очевидной законной цели;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несоответствие сделки целям деятельности организации, установленным учредительными документами этой организации;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выявление неоднократного совершения операций или сделок, характер которых дает основание полагать, что целью их осуществления является уклонение от процедур обязательного контроля, предусмотренных настоящим Федеральным законом;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иные обстоятельства, дающие основания полагать, что сделки осуществляются в целях легализации (отмывания) доходов, полученных преступным путем.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Разработка правил внутреннего контроля осуществляется с учетом рекомендаций, утверждаемых Правительством Российской Федерации, а для кредитных организаций - Центральным банком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3. В случае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если у работников организации, осуществляющей операции с денежными средствами или иным имуществом, на основании реализации указанных в пункте 2 настоящей статьи программ осуществления внутреннего контроля возникают подозрения, что какие-либо операции осуществляются в целях легализации (отмывания) доходов, полученных преступным путем, эта организация обязана направлять в уполномоченный орган сведения о таких операциях независимо от того, относятся или не относятся они к операциям, предусмотренным статьей 6 настоящего Федерального закона.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4. Документы, подтверждающие сведения, указанные в настоящей статье, а также копии документов, необходимых для идентификации личности, подлежат хранению не менее пяти лет.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5. Кредитным организациям запрещается открывать счета (вклады) на анонимных владельцев, то есть без представления открывающим счет (вклад) физическим или юридическим лицом документов, необходимых для его идентификации.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 6. Работники организаций, представляющих соответствующую информацию в уполномоченный орган, не вправе информировать об этом клиентов этих организаций или иных лиц.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7. Порядок представления информации в уполномоченный орган устанавливается Правительством Российской Федерации, а в отношении кредитных организаций - Центральным банком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8. Представление в уполномоченный орган сведений и документов работниками организаций, осуществляющих операции с денежными средствами или иным имуществом, в целях и порядке, которые предусмотрены настоящим Федеральным законом, не является нарушением служебной, банковской, налоговой и коммерческой тайны.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9.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Контроль за исполнением физическими и юридическими лицами настоящего Федерального закона в части фиксирования, хранения и представления информации об операциях, подлежащих обязательному контролю, а также за организацией внутреннего контроля осуществляется соответствующими надзорными органами в соответствии с их компетенцией и в порядке, установленном законодательством Российской Федерации, а также уполномоченным органом в случае отсутствия надзорных органов в сфере деятельности отдельных организаций, осуществляющих операции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 денежными средствами или иным имуществом.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Глава III. ОРГАНИЗАЦИЯ ДЕЯТЕЛЬНОСТИ ПО ПРОТИВОДЕЙСТВИЮ ЛЕГАЛИЗАЦИИ (ОТМЫВАНИЮ) ДОХОДОВ, ПОЛУЧЕННЫХ ПРЕСТУПНЫМ ПУТЕМ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  Статья 8. Уполномоченный орган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Уполномоченный орган, определяемый Президентом Российской Федерации, является федеральным органом исполнительной власти, задачи, функции и полномочия которого в сфере противодействия легализации (отмыванию) доходов, полученных преступным путем, устанавливаются в соответствии с настоящим Федеральным законом.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При наличии достаточных оснований, свидетельствующих о том, что операция, сделка связаны с легализацией (отмыванием) доходов, полученных преступным путем, уполномоченный орган направляет соответствующие </w:t>
      </w: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информацию и материалы в правоохранительные органы в соответствии с их компетенцией.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Работники уполномоченного органа при исполнении настоящего Федерального закона обеспечивают сохранность ставших им известными сведений, связанных с деятельностью уполномоченного органа, составляющих служебную, банковскую, налоговую или коммерческую тайну, и несут установленную законодательством Российской Федерации ответственность за разглашение этих сведений.</w:t>
      </w:r>
      <w:proofErr w:type="gramEnd"/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Вред,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функций, подлежит возмещению за счет средств федерального бюджета в соответствии с законодательством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9. Представление информации и документов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Органы государственной власти Российской Федерации, органы государственной власти субъектов Российской Федерации и органы местного самоуправления предоставляют уполномоченному органу информацию и документы, необходимые для осуществления его функций (за исключением информации о частной жизни граждан), в порядке, установленном Правительством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Центральный банк Российской Федерации предоставляет уполномоченному органу информацию и документы, необходимые для осуществления его функций, в порядке, согласованном Центральным банком Российской Федерации с уполномоченным органом.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Предоставление по запросу уполномоченного органа информации и документов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Центральным банком Российской Федерации в целях и порядке, которые предусмотрены настоящим Федеральным законом, не является нарушением служебной, банковской, налоговой и коммерческой тайны.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Положения настоящей статьи не распространяются на информацию и документы, полученные указанными в настоящей статье органами при </w:t>
      </w: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исполнении установленных законодательством Российской Федерации надзорных функций.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Глава IV. МЕЖДУНАРОДНОЕ СОТРУДНИЧЕСТВО В СФЕРЕ БОРЬБЫ С ЛЕГАЛИЗАЦИЕЙ (ОТМЫВАНИЕМ) ДОХОДОВ, ПОЛУЧЕННЫХ ПРЕСТУПНЫМ ПУТЕМ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10. Обмен информацией и правовая помощь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Органы государственной власти Российской Федерации, осуществляющие деятельность, связанную с противодействием легализации (отмыванию) доходов, полученных преступным путем,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информации, предварительного расследования, судебного разбирательства и исполнения судебных решений.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Уполномоченный орган и иные органы государственной власти Российской Федерации, осуществляющие деятельность, связанную с противодействием легализации (отмыванию) доходов, полученных преступным путем,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основаниях, которые предусмотрены международными договорами Российской Федерации.</w:t>
      </w:r>
      <w:proofErr w:type="gramEnd"/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Передача компетентным органам иностранного государства информации, связанной с выявлением, изъятием и конфискацией доходов, полученных преступным путем, осуществляется в том случае,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Информация, связанная с выявлением, изъятием и конфискацией доходов, полученных преступным путем, предоставляется по запросу компетентного органа иностранного государства при условии, что она не будет использована без предварительного согласия соответствующих органов государственной власти Российской Федерации, предоставивших ее, в целях, не указанных в запросе.</w:t>
      </w:r>
      <w:proofErr w:type="gramEnd"/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 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запросы, сделанные указанными компетентными органами, в порядке, предусмотренном международными договорами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Органы государственной власти Российской Федерации, осуществляющие деятельность, связанную с противодействием легализации (отмыванию) доходов, полученных преступным путем, направившие запрос, обеспечивают конфиденциальность предоставленной информации и используют ее только в целях, указанных в запросе.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Органы государственной власти Российской Федерации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существляющие деятельность, связанную с противодействием легализации (отмыванию) доходов, полученных преступным путем,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доходов, полученных преступным путем, а также о производстве отдельных процессуальных действий по делам о выявлении доходов, полученных преступным путем, наложении ареста на 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имущество, об изъятии имущества, в том числе проводят экспертизы, допросы подозреваемых, обвиняемых, свидетелей, потерпевших и других лиц, обыски, выемки, передают вещественные доказательства, налагают арест на имущество, осуществляют вручение и пересылку документов.</w:t>
      </w:r>
      <w:proofErr w:type="gramEnd"/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Расходы, связанные с исполнением указанных запросов, возмещаются в соответствии с международными договорами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11. Признание приговора (решения), вынесенного судом иностранного государства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вступившие в законную силу приговоры (решения) в отношении лиц, имеющих доходы, полученные преступным путем.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    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(решения) о </w:t>
      </w: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конфискации находящихся на территории Российской Федерации доходов, полученных преступным путем, или эквивалентного им имущества.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Конфискованные доходы, полученные преступным путем, или эквивалентное им имущество могут быть переданы полностью или частично иностранному государству, судом которого вынесено решение о конфискации, на основании соответствующего международного договора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 Статья 12. Выдача и транзитная перевозка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Решение о выдаче иностранному государству лиц, совершивших преступления, связанные с легализацией (отмыванием) доходов, полученных преступным путем, принимается на основании обязательств Российской Федерации, вытекающих из международного договора Российской Федерации. В том же порядке принимается решение о транзитной перевозке указанных лиц по территории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В случае</w:t>
      </w:r>
      <w:proofErr w:type="gramStart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</w:t>
      </w:r>
      <w:proofErr w:type="gramEnd"/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если у Российской Федерации нет соответствующего договора с иностранным государством, которое запрашивает выдачу, указанные лица могут быть выданы за преступления, связанные с легализацией (отмыванием) доходов, полученных преступным путем, при условии соблюдения принципа взаимности.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Глава V. ЗАКЛЮЧИТЕЛЬНЫЕ ПОЛОЖЕНИЯ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13. Ответственность за нарушение настоящего Федерального закона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Нарушение организациями, осуществляющими операции с денежными средствами или иным имуществом и действующими на основании лицензии, требований, предусмотренных статьями 6 и 7 настоящего Федерального закона, за исключением пункта 3 статьи 7 настоящего Федерального закона, может повлечь отзыв (аннулирование) лицензии в порядке, предусмотренном законодательством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Лица, виновные в нарушении настоящего Федерального закона, несут административную, гражданскую и уголовную ответственность в соответствии с законодательством Российской Федерации.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Статья 14. Прокурорский надзор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Надзор за исполнением настоящего Федерального закона осуществляют Генеральный прокурор Российской Федерации и подчиненные ему прокуроры.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15. Обжалование действий уполномоченного органа и его должностных лиц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Заинтересованное лицо вправе обратиться в суд за защитой своих нарушенных или оспариваемых прав и законных интересов в установленном законом порядке.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    Статья 16. Вступление в силу настоящего Федерального закона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Настоящий Федеральный закон вступает в силу с 1 февраля 2002 года.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Статья 17. Приведение нормативных правовых актов в соответствие с настоящим Федеральным законом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    Нормативные правовые акты Президента Российской Федерации и Правительства Российской Федерации,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силу.</w:t>
      </w:r>
    </w:p>
    <w:p w:rsidR="00F82B28" w:rsidRPr="00F82B28" w:rsidRDefault="00F82B28" w:rsidP="00F82B28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Российской Федерации</w:t>
      </w:r>
      <w:r w:rsidRPr="00F82B28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В. Путин</w:t>
      </w:r>
    </w:p>
    <w:p w:rsidR="00741B7B" w:rsidRDefault="00741B7B"/>
    <w:sectPr w:rsidR="0074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D9"/>
    <w:rsid w:val="004E09D9"/>
    <w:rsid w:val="00741B7B"/>
    <w:rsid w:val="00F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153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58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763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0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94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8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91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57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3324129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7975734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9522771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3632401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5139551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8723503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980069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2968308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4790317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6235352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2649164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8471406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20875313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5261429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0131922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9396851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866734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8563147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5959853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3555421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2348233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9462330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6893314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5611624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9304346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917812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8586678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3531205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1815796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4120011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5261391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7498931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5983223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0854946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1376472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  <w:div w:id="1941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6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9/12/17/perechen-dok.html" TargetMode="External"/><Relationship Id="rId13" Type="http://schemas.openxmlformats.org/officeDocument/2006/relationships/hyperlink" Target="https://rg.ru/2019/07/05/azartnye-igry-dok.html" TargetMode="External"/><Relationship Id="rId18" Type="http://schemas.openxmlformats.org/officeDocument/2006/relationships/hyperlink" Target="https://rg.ru/2017/08/07/finansi-dok.html" TargetMode="External"/><Relationship Id="rId26" Type="http://schemas.openxmlformats.org/officeDocument/2006/relationships/hyperlink" Target="https://rg.ru/2015/12/31/ocenka-dok.html" TargetMode="External"/><Relationship Id="rId39" Type="http://schemas.openxmlformats.org/officeDocument/2006/relationships/hyperlink" Target="https://rg.ru/2006/07/29/prestupnye-dohody-dok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g.ru/2016/06/28/dohodi-dok.html" TargetMode="External"/><Relationship Id="rId34" Type="http://schemas.openxmlformats.org/officeDocument/2006/relationships/hyperlink" Target="https://rg.ru/2010/07/27/prestup-dohody-dok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g.ru/2019/12/19/perevody-dok.html" TargetMode="External"/><Relationship Id="rId12" Type="http://schemas.openxmlformats.org/officeDocument/2006/relationships/hyperlink" Target="https://rg.ru/2019/08/02/protivodeistvie-dok.html" TargetMode="External"/><Relationship Id="rId17" Type="http://schemas.openxmlformats.org/officeDocument/2006/relationships/hyperlink" Target="https://rg.ru/2017/12/30/fz470-site-dok.html" TargetMode="External"/><Relationship Id="rId25" Type="http://schemas.openxmlformats.org/officeDocument/2006/relationships/hyperlink" Target="https://rg.ru/2015/12/31/ekonomika-dok.html" TargetMode="External"/><Relationship Id="rId33" Type="http://schemas.openxmlformats.org/officeDocument/2006/relationships/hyperlink" Target="https://rg.ru/2011/09/23/perechen-dok.html" TargetMode="External"/><Relationship Id="rId38" Type="http://schemas.openxmlformats.org/officeDocument/2006/relationships/hyperlink" Target="https://rg.ru/2007/03/22/finrazvedka-dok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g.ru/2018/04/25/fz112-dok.html" TargetMode="External"/><Relationship Id="rId20" Type="http://schemas.openxmlformats.org/officeDocument/2006/relationships/hyperlink" Target="https://rg.ru/2016/12/07/perechen-dok.html" TargetMode="External"/><Relationship Id="rId29" Type="http://schemas.openxmlformats.org/officeDocument/2006/relationships/hyperlink" Target="https://rg.ru/2012/04/06/terrorizm-dok.html" TargetMode="External"/><Relationship Id="rId41" Type="http://schemas.openxmlformats.org/officeDocument/2006/relationships/hyperlink" Target="https://rg.ru/2004/07/31/dohod-dok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g.ru/2020/03/03/dohody-dok.html" TargetMode="External"/><Relationship Id="rId11" Type="http://schemas.openxmlformats.org/officeDocument/2006/relationships/hyperlink" Target="https://rg.ru/2019/08/07/271-fz-dok.html" TargetMode="External"/><Relationship Id="rId24" Type="http://schemas.openxmlformats.org/officeDocument/2006/relationships/hyperlink" Target="https://rg.ru/2015/12/31/a1206410-dok.html" TargetMode="External"/><Relationship Id="rId32" Type="http://schemas.openxmlformats.org/officeDocument/2006/relationships/hyperlink" Target="https://rg.ru/2011/11/11/fz-dok.html" TargetMode="External"/><Relationship Id="rId37" Type="http://schemas.openxmlformats.org/officeDocument/2006/relationships/hyperlink" Target="https://rg.ru/2007/04/20/legalizacia-izmenenie-dok.html" TargetMode="External"/><Relationship Id="rId40" Type="http://schemas.openxmlformats.org/officeDocument/2006/relationships/hyperlink" Target="https://rg.ru/2005/11/19/legalizaciya-dok.html" TargetMode="External"/><Relationship Id="rId5" Type="http://schemas.openxmlformats.org/officeDocument/2006/relationships/hyperlink" Target="https://rg.ru/2020/07/16/dohodi-dok.html" TargetMode="External"/><Relationship Id="rId15" Type="http://schemas.openxmlformats.org/officeDocument/2006/relationships/hyperlink" Target="https://rg.ru/2018/04/25/fz-90-dok.html" TargetMode="External"/><Relationship Id="rId23" Type="http://schemas.openxmlformats.org/officeDocument/2006/relationships/hyperlink" Target="https://rg.ru/2016/01/11/fz423-dok.html" TargetMode="External"/><Relationship Id="rId28" Type="http://schemas.openxmlformats.org/officeDocument/2006/relationships/hyperlink" Target="https://rg.ru/2013/12/30/karta-dok.html" TargetMode="External"/><Relationship Id="rId36" Type="http://schemas.openxmlformats.org/officeDocument/2006/relationships/hyperlink" Target="https://rg.ru/2007/12/01/otmivanie-izmenenie-dok.html" TargetMode="External"/><Relationship Id="rId10" Type="http://schemas.openxmlformats.org/officeDocument/2006/relationships/hyperlink" Target="https://rg.ru/2019/08/19/apere4en-dok.html" TargetMode="External"/><Relationship Id="rId19" Type="http://schemas.openxmlformats.org/officeDocument/2006/relationships/hyperlink" Target="https://rg.ru/2016/12/30/sila-dok.html" TargetMode="External"/><Relationship Id="rId31" Type="http://schemas.openxmlformats.org/officeDocument/2006/relationships/hyperlink" Target="https://rg.ru/2011/11/11/perechen1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2019/10/24/azakon-dok.html" TargetMode="External"/><Relationship Id="rId14" Type="http://schemas.openxmlformats.org/officeDocument/2006/relationships/hyperlink" Target="https://rg.ru/2018/12/29/terror-dok.html" TargetMode="External"/><Relationship Id="rId22" Type="http://schemas.openxmlformats.org/officeDocument/2006/relationships/hyperlink" Target="https://rg.ru/2016/01/11/finansi-dok.html" TargetMode="External"/><Relationship Id="rId27" Type="http://schemas.openxmlformats.org/officeDocument/2006/relationships/hyperlink" Target="https://rg.ru/2014/12/31/bank-dok.html" TargetMode="External"/><Relationship Id="rId30" Type="http://schemas.openxmlformats.org/officeDocument/2006/relationships/hyperlink" Target="https://rg.ru/2011/12/26/terror-dok.html" TargetMode="External"/><Relationship Id="rId35" Type="http://schemas.openxmlformats.org/officeDocument/2006/relationships/hyperlink" Target="https://rg.ru/2008/06/25/otmivanie-dok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4960</Words>
  <Characters>28275</Characters>
  <Application>Microsoft Office Word</Application>
  <DocSecurity>0</DocSecurity>
  <Lines>235</Lines>
  <Paragraphs>66</Paragraphs>
  <ScaleCrop>false</ScaleCrop>
  <Company/>
  <LinksUpToDate>false</LinksUpToDate>
  <CharactersWithSpaces>33169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2020-10-29T05:44:00Z</dcterms:created>
  <dcterms:modified xsi:type="dcterms:W3CDTF">2020-10-29T05:44:00Z</dcterms:modified>
</cp:coreProperties>
</file>